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F087" w14:textId="77777777" w:rsidR="00694C13" w:rsidRDefault="00694C13" w:rsidP="00694C13">
      <w:r>
        <w:t xml:space="preserve">Vastuskiri Madara DP märkustele (TRAM 22.12.2025 kiri nr </w:t>
      </w:r>
      <w:r>
        <w:t>7.2-2/25/9548-7</w:t>
      </w:r>
      <w:r>
        <w:t>)</w:t>
      </w:r>
    </w:p>
    <w:p w14:paraId="0FC6E22B" w14:textId="77777777" w:rsidR="00694C13" w:rsidRDefault="00694C13" w:rsidP="00694C13"/>
    <w:p w14:paraId="01D2F359" w14:textId="4A94D2E9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Seisukohtade kirja p 1 oleme esitanud nõude, et juurdepääsud planeeringualale tuleb tagada</w:t>
      </w:r>
      <w:r>
        <w:t xml:space="preserve"> </w:t>
      </w:r>
      <w:r>
        <w:t>riigiteelt nr 11155 Vaida tee ning täiendavaid juurdepääse riigiteelt nr 11202 Vaida-Urge</w:t>
      </w:r>
      <w:r>
        <w:t xml:space="preserve"> </w:t>
      </w:r>
      <w:r>
        <w:t>tee mitte planeerida. Samuti on nõutud normidele mittevastavate ristumiskohtade</w:t>
      </w:r>
      <w:r>
        <w:t xml:space="preserve"> </w:t>
      </w:r>
      <w:r>
        <w:t>likvideerimise kavandamist.</w:t>
      </w:r>
      <w:r>
        <w:t xml:space="preserve"> </w:t>
      </w:r>
      <w:r>
        <w:t>Planeeringu seletuskirja p 7 Liiklus ja parkimine on öeldud, et juurdepääsud sõiduautodele</w:t>
      </w:r>
      <w:r>
        <w:t xml:space="preserve"> </w:t>
      </w:r>
      <w:r>
        <w:t>planeeritavale krundile pääsuks luuakse riigi kõrvalmaanteedelt nr 11155 "Vaida tee" ja</w:t>
      </w:r>
      <w:r>
        <w:t xml:space="preserve"> </w:t>
      </w:r>
      <w:r>
        <w:t>11202 "Vaida-Urge" ning olemasolev Madara kinnistu (katastritunnus 65301:001:4340)</w:t>
      </w:r>
      <w:r>
        <w:t xml:space="preserve"> </w:t>
      </w:r>
      <w:r>
        <w:t>olemasolev juurdepääs riigitee km 2,612 likvideeritakse.</w:t>
      </w:r>
      <w:r>
        <w:t xml:space="preserve"> </w:t>
      </w:r>
      <w:r>
        <w:t>Planeeringu seletuskirja p 7.1 Liiklusuuringu liiklusalased ettepanekud on märgitud, et riigitee</w:t>
      </w:r>
      <w:r>
        <w:t xml:space="preserve"> </w:t>
      </w:r>
      <w:r>
        <w:t>nr 11202 Vaida-Urge teelt on kavandatud kaks uut juurdepääsu olemasolevast Madara kinnistu</w:t>
      </w:r>
      <w:r>
        <w:t xml:space="preserve"> </w:t>
      </w:r>
      <w:r>
        <w:t>juurepääsust riigitee km 2,613 ligikaudu 70,0 m ja ca 125,0 m põhja suunas s.o riigitee km</w:t>
      </w:r>
      <w:r>
        <w:t xml:space="preserve"> </w:t>
      </w:r>
      <w:r>
        <w:t>2,543 ja km 2,488 (vt joonis 1).</w:t>
      </w:r>
      <w:r>
        <w:t xml:space="preserve"> </w:t>
      </w:r>
      <w:r>
        <w:t>Oluline on siinkohal asjaolu, et uute ristmike kavandamisel on Transpordiametil kohustus</w:t>
      </w:r>
      <w:r>
        <w:t xml:space="preserve"> </w:t>
      </w:r>
      <w:r>
        <w:t>lähtuda kehtivatest normidest, kus liiklussagedus on otseselt seotud ristmike minimaalsete</w:t>
      </w:r>
      <w:r>
        <w:t xml:space="preserve"> </w:t>
      </w:r>
      <w:r>
        <w:t>vahekaugustega. Selgitame, et nimetatud riigitee aasta keskmine ööpäevane liiklus on 840</w:t>
      </w:r>
      <w:r>
        <w:t xml:space="preserve"> </w:t>
      </w:r>
      <w:r>
        <w:t>autot ja kehtib kiiruspiirang 70 km/h. Normide lisa 1 tabel 17 kohaselt peab riigitee selles</w:t>
      </w:r>
      <w:r>
        <w:t xml:space="preserve"> </w:t>
      </w:r>
      <w:r>
        <w:t>lõigus ristmike vähim omavaheline vahekaugus olema 100 m. Ristmike omavahelise kauguse</w:t>
      </w:r>
      <w:r>
        <w:t xml:space="preserve"> </w:t>
      </w:r>
      <w:r>
        <w:t>määramisel tuleb lähtuda põhimõttest, et kaugust arvestatakse ühe ristmiku lõpp-punktist (nt</w:t>
      </w:r>
      <w:r>
        <w:t xml:space="preserve"> </w:t>
      </w:r>
      <w:r>
        <w:t>pöördkõver) järgmise ristmiku alguspunktini.</w:t>
      </w:r>
      <w:r>
        <w:t xml:space="preserve"> </w:t>
      </w:r>
      <w:r>
        <w:t>Teeregistri andmetel paikneb riigitee 11202 Vaida-Urge tee km 2,461 Hoidla tee 9 kinnistu</w:t>
      </w:r>
      <w:r>
        <w:t xml:space="preserve"> </w:t>
      </w:r>
      <w:r>
        <w:t>(katastritunnus 65303:003:0108) juurdepääs ning km 2,612 Madara kinnistu (katastritunnus</w:t>
      </w:r>
      <w:r>
        <w:t xml:space="preserve"> </w:t>
      </w:r>
      <w:r>
        <w:t>65301:001:4340) juurdepääs. Planeeringu materjalide kohaselt on olemasolevate</w:t>
      </w:r>
      <w:r>
        <w:t xml:space="preserve"> </w:t>
      </w:r>
      <w:r>
        <w:t>ristumiskohtade ja uute kavandatavate ristumiskohtade riigitee km 2,543 ja km 2,488omavaheline kaugus vastuolus normides esitatud miinimumnõuetega</w:t>
      </w:r>
      <w:r>
        <w:t>.</w:t>
      </w:r>
      <w:r>
        <w:t xml:space="preserve"> Tulenevalt vastuolust normides esitatud nõuetega, ei saa me esitatud lahendusega nõustuda.</w:t>
      </w:r>
      <w:r>
        <w:t xml:space="preserve"> </w:t>
      </w:r>
      <w:r>
        <w:t>Lisaks ei ole planeeringu põhijooniselt üheselt tuvastatav, et riigitee km 2,612 paiknev</w:t>
      </w:r>
      <w:r>
        <w:t xml:space="preserve"> </w:t>
      </w:r>
      <w:r>
        <w:t>Madara kinnistu (katastritunnus 65301:001:4340) juurdepääs on kavandatud likvideerida.</w:t>
      </w:r>
      <w:r>
        <w:t xml:space="preserve"> </w:t>
      </w:r>
      <w:r>
        <w:t>Seega esineb vastuolu planeeringu seletuskirja ja põhijoonise vahel. Põhijoonisel tuleb</w:t>
      </w:r>
      <w:r>
        <w:t xml:space="preserve"> </w:t>
      </w:r>
      <w:r>
        <w:t>kõnealuse ristumiskoha likvideerimine selgelt kajastada, lisada vastav tingmärk ning selle</w:t>
      </w:r>
      <w:r>
        <w:t xml:space="preserve"> </w:t>
      </w:r>
      <w:r>
        <w:t>selgitus.</w:t>
      </w:r>
      <w:r>
        <w:t xml:space="preserve"> </w:t>
      </w:r>
      <w:r>
        <w:t>Vastuolu ilmneb ka seletuskirja p 7.1 Liiklusuuringu liiklusalased ettepanekud, kus on</w:t>
      </w:r>
      <w:r>
        <w:t xml:space="preserve"> </w:t>
      </w:r>
      <w:r>
        <w:t>öeldud, et meie seisukohtade p 1 ei ole arvestatud põhjendusel, et riigitee km 2,612 paiknev</w:t>
      </w:r>
      <w:r>
        <w:t xml:space="preserve"> </w:t>
      </w:r>
      <w:r>
        <w:t>Madara kinnistu (katastritunnus 65301:001:4340) juurdepääs on olemas ning sellelt on</w:t>
      </w:r>
      <w:r>
        <w:t xml:space="preserve"> </w:t>
      </w:r>
      <w:r>
        <w:t>tagatud normide kohane nähtavus. Jääb arusaamatuks, kas olemasolev juurdepääs</w:t>
      </w:r>
      <w:r>
        <w:t xml:space="preserve"> </w:t>
      </w:r>
      <w:r>
        <w:t>likvideeritakse või kavandatakse see edaspidi kasutusele võtta.</w:t>
      </w:r>
      <w:r>
        <w:t xml:space="preserve"> </w:t>
      </w:r>
      <w:r>
        <w:t>Palume korrigeerida vastuolu planeeringulahenduses.</w:t>
      </w:r>
    </w:p>
    <w:p w14:paraId="2DB9A520" w14:textId="729D5734" w:rsidR="00694C13" w:rsidRPr="00694C13" w:rsidRDefault="00694C13" w:rsidP="00694C13">
      <w:pPr>
        <w:rPr>
          <w:b/>
          <w:bCs/>
        </w:rPr>
      </w:pPr>
      <w:r w:rsidRPr="00694C13">
        <w:rPr>
          <w:b/>
          <w:bCs/>
        </w:rPr>
        <w:t>Planeeringus muudetud Hoidla tee serva planeeritud parkla ja juurdepääsu lahendus selliselt, et saab kasutada olemasolevat 2.613 km juurdepääsu (rekonstrueeritakse) ja uusi juurdepääse Hoidla teele ei planeerita.</w:t>
      </w:r>
    </w:p>
    <w:p w14:paraId="2AC4FCE5" w14:textId="1FB3DF63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lastRenderedPageBreak/>
        <w:t>Planeeringu seletuskirja kohaselt on riigitee nr 11202 Vaida-Urge tee äärde kavandatud</w:t>
      </w:r>
      <w:r>
        <w:t xml:space="preserve"> </w:t>
      </w:r>
      <w:r>
        <w:t>parkla mahuga 150 parkimiskohta, kuid planeeringu põhijooniselt ei ole 150 parkimiskoha</w:t>
      </w:r>
      <w:r>
        <w:t xml:space="preserve"> </w:t>
      </w:r>
      <w:r>
        <w:t>kavandamine tuvastatav. Riigiteega nr 11202 külgnevas parklas ei ole põhijoonise kohaselt</w:t>
      </w:r>
      <w:r>
        <w:t xml:space="preserve"> </w:t>
      </w:r>
      <w:r>
        <w:t>kavandatud 150 parkimiskohta.</w:t>
      </w:r>
      <w:r>
        <w:t xml:space="preserve"> </w:t>
      </w:r>
      <w:r>
        <w:t>Planeeringulahendus peab olema üheselt arusaadav ja kooskõlas seletuskirja ja jooniste</w:t>
      </w:r>
      <w:r>
        <w:t xml:space="preserve"> </w:t>
      </w:r>
      <w:r>
        <w:t>vahel. Palume viia seletuskiri ja põhijoonis vastavusse ning näidata parkimiskohtade</w:t>
      </w:r>
      <w:r>
        <w:t xml:space="preserve"> </w:t>
      </w:r>
      <w:r>
        <w:t>tegelik arv ja paiknemine selgelt ka joonistel.</w:t>
      </w:r>
    </w:p>
    <w:p w14:paraId="1D0F28AE" w14:textId="10D923C2" w:rsidR="00694C13" w:rsidRPr="00694C13" w:rsidRDefault="00694C13" w:rsidP="00694C13">
      <w:pPr>
        <w:rPr>
          <w:b/>
          <w:bCs/>
        </w:rPr>
      </w:pPr>
      <w:r w:rsidRPr="00694C13">
        <w:rPr>
          <w:b/>
          <w:bCs/>
        </w:rPr>
        <w:t>Korrigeeritud seletuskirja p.7.1, kus on selgemalt välja toodud, et liiklusuuringu aluseks olnud DP eskiisi versioon on käesolevaks hetkeks aegunud ja uues lahenduses on parkimiskohtade arv 96, nii seletuskirja kui joonisel.</w:t>
      </w:r>
    </w:p>
    <w:p w14:paraId="6BE88AA5" w14:textId="0F34131E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Planeeringu seletuskirja p 4.2 Liiklusuuring ei selgu, millisele mahasõidu osale 6,0 m laius</w:t>
      </w:r>
      <w:r>
        <w:t xml:space="preserve"> </w:t>
      </w:r>
      <w:r>
        <w:t>viitab ja kuidas see vastab tüüplahendusele I. Palume seletuskirjas täpsustada mahasõidu</w:t>
      </w:r>
      <w:r>
        <w:t xml:space="preserve"> </w:t>
      </w:r>
      <w:r>
        <w:t>parameetrid selliselt, et oleks üheselt arusaadav lahenduse vastavus Transpordiameti</w:t>
      </w:r>
      <w:r>
        <w:t xml:space="preserve"> </w:t>
      </w:r>
      <w:r>
        <w:t>nõuetele ja tüüplahendusele I.</w:t>
      </w:r>
    </w:p>
    <w:p w14:paraId="0EBB7203" w14:textId="50093484" w:rsidR="00694C13" w:rsidRPr="00694C13" w:rsidRDefault="00694C13" w:rsidP="00694C13">
      <w:pPr>
        <w:rPr>
          <w:b/>
          <w:bCs/>
        </w:rPr>
      </w:pPr>
      <w:r w:rsidRPr="00694C13">
        <w:rPr>
          <w:b/>
          <w:bCs/>
        </w:rPr>
        <w:t>Täiendatud seletuskirja p.4.2.</w:t>
      </w:r>
    </w:p>
    <w:p w14:paraId="1C675A86" w14:textId="471D3F96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Seisukohtade p 3 kohaselt on riigitee kaitsevöönd planeeringu põhijoonisele kantud, kuid</w:t>
      </w:r>
      <w:r>
        <w:t xml:space="preserve"> </w:t>
      </w:r>
      <w:r>
        <w:t>kaitsevööndi ulatust ei ole näidatud korrektselt.</w:t>
      </w:r>
      <w:r>
        <w:t xml:space="preserve"> </w:t>
      </w:r>
      <w:r>
        <w:t>Selgitame, et riigitee kaitsevööndi ulatus on reguleeritud EhS § 71 alusel, mille kohaselt</w:t>
      </w:r>
      <w:r>
        <w:t xml:space="preserve"> </w:t>
      </w:r>
      <w:r>
        <w:t>on maanteede kaitsevööndi laius mõlemal pool äärmise sõiduraja välimisest servast 30</w:t>
      </w:r>
      <w:r>
        <w:t xml:space="preserve"> </w:t>
      </w:r>
      <w:r>
        <w:t>meetrit. Planeeringu põhijoonisel on kaitsevööndi mõõt antud kinnistu piirist, mitte</w:t>
      </w:r>
      <w:r>
        <w:t xml:space="preserve"> </w:t>
      </w:r>
      <w:r>
        <w:t>riigitee katte äärmise sõiduraja välimisest servast</w:t>
      </w:r>
      <w:r>
        <w:t xml:space="preserve">. </w:t>
      </w:r>
      <w:r>
        <w:t>Palume korrigeerida põhijoonist selliselt, et riigitee kaitsevööndi ulatus oleks mõõdistatud</w:t>
      </w:r>
      <w:r>
        <w:t xml:space="preserve"> </w:t>
      </w:r>
      <w:r>
        <w:t>ja esitatud EhS § 71 kohaselt, lähtudes riigitee katte äärmise sõiduraja välimisest servast.</w:t>
      </w:r>
    </w:p>
    <w:p w14:paraId="2293188E" w14:textId="1244482A" w:rsidR="00694C13" w:rsidRPr="006D7066" w:rsidRDefault="00694C13" w:rsidP="006D7066">
      <w:pPr>
        <w:rPr>
          <w:b/>
          <w:bCs/>
        </w:rPr>
      </w:pPr>
      <w:r w:rsidRPr="006D7066">
        <w:rPr>
          <w:b/>
          <w:bCs/>
        </w:rPr>
        <w:t>Joonised korrigeeritud, mõõdud näidatud teekatendi servast. Teede kaitsevööndid võetud Maa-ameti kaardiserverist</w:t>
      </w:r>
      <w:r w:rsidR="006D7066" w:rsidRPr="006D7066">
        <w:rPr>
          <w:b/>
          <w:bCs/>
        </w:rPr>
        <w:t xml:space="preserve"> kohtades, kus topoalust ei ole mõõdistatud, mujal näidatud teekatendi servast 30 m kaugusel (või 10 m kohtades, kus kehtib 10 m teekaitsevöönd).</w:t>
      </w:r>
    </w:p>
    <w:p w14:paraId="60F198BD" w14:textId="43349BD4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Planeeringu põhijoonisele on kantud ja tingmärkide loetelus kirjeldatud</w:t>
      </w:r>
      <w:r w:rsidR="006D7066">
        <w:t xml:space="preserve"> maantee kaitsevööndi ettepanek 10 m.  </w:t>
      </w:r>
      <w:r>
        <w:t>Selgitame, et riigitee kaitsevööndi ulatus on määratud EhS § 71 lg 2 alusel, mistõttu ei ole</w:t>
      </w:r>
      <w:r w:rsidR="006D7066">
        <w:t xml:space="preserve"> </w:t>
      </w:r>
      <w:r>
        <w:t>võimalik kaitsevööndi laiust planeeringuga tehtud ettepaneku alusel muuta. Riigitee</w:t>
      </w:r>
      <w:r w:rsidR="006D7066">
        <w:t xml:space="preserve"> </w:t>
      </w:r>
      <w:r>
        <w:t>kaitsevööndi ulatuse muutmine (suurendamine või vähendamine on võimalik vaid</w:t>
      </w:r>
      <w:r w:rsidR="006D7066">
        <w:t xml:space="preserve"> </w:t>
      </w:r>
      <w:r>
        <w:t>kohaliku omavalitsuse üldplaneeringu raames ning seaduses sätestatud tingimustel.</w:t>
      </w:r>
    </w:p>
    <w:p w14:paraId="581B2D2C" w14:textId="5976C8E4" w:rsidR="006D7066" w:rsidRPr="006D7066" w:rsidRDefault="006D7066" w:rsidP="006D7066">
      <w:pPr>
        <w:rPr>
          <w:b/>
          <w:bCs/>
        </w:rPr>
      </w:pPr>
      <w:r w:rsidRPr="006D7066">
        <w:rPr>
          <w:b/>
          <w:bCs/>
        </w:rPr>
        <w:t>Kaitsevööndi muutmise ettepanek eemaldatud DP-st.</w:t>
      </w:r>
    </w:p>
    <w:p w14:paraId="055E656A" w14:textId="6A701B34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Seisukohtade kirja p 6 oleme esitanud nõude, et jalakäijate ohutuse tagamiseks tuleb</w:t>
      </w:r>
      <w:r w:rsidR="006D7066">
        <w:t xml:space="preserve"> </w:t>
      </w:r>
      <w:r>
        <w:t>kergliiklusteed eraldada sõiduteest ohutusribaga, mille minimaalse laiuse määramisel tuleb</w:t>
      </w:r>
      <w:r w:rsidR="006D7066">
        <w:t xml:space="preserve"> </w:t>
      </w:r>
      <w:r>
        <w:t>lähtuda normide lisa 1 tabelist 41. Samuti tuleb planeeringulahenduses näha ette sobivad</w:t>
      </w:r>
      <w:r w:rsidR="006D7066">
        <w:t xml:space="preserve"> </w:t>
      </w:r>
      <w:r>
        <w:t>ja ohutud teeületuskohad peamiste liikumis- ja tõmbepunktide vahel.</w:t>
      </w:r>
      <w:r w:rsidR="006D7066">
        <w:t xml:space="preserve"> </w:t>
      </w:r>
      <w:r>
        <w:t>Planeeringu põhijoonisel oleme tuvastanud olukordi, mis vajavad selgitamist või</w:t>
      </w:r>
      <w:r w:rsidR="006D7066">
        <w:t xml:space="preserve"> </w:t>
      </w:r>
      <w:r>
        <w:t>korrigeerimist. Esmased tähelepanekud on järgmised.</w:t>
      </w:r>
      <w:r w:rsidR="006D7066">
        <w:t xml:space="preserve"> </w:t>
      </w:r>
      <w:r>
        <w:t>Kavandatav kergliiklustee on näidatud kulgemas üle olemasoleva alajaama hoone, mis</w:t>
      </w:r>
      <w:r w:rsidR="006D7066">
        <w:t xml:space="preserve"> </w:t>
      </w:r>
      <w:r>
        <w:t>ei ole tehniliselt ega ruumiliselt teostatav.</w:t>
      </w:r>
      <w:r w:rsidR="006D7066">
        <w:t xml:space="preserve"> </w:t>
      </w:r>
      <w:r>
        <w:t>Lisaks ei ole joonisel piisavalt kajastatud olemasolev olukord, sh puuduvad nt teekatte</w:t>
      </w:r>
      <w:r w:rsidR="006D7066">
        <w:t xml:space="preserve"> </w:t>
      </w:r>
      <w:r>
        <w:t xml:space="preserve">liigid ja </w:t>
      </w:r>
      <w:r>
        <w:lastRenderedPageBreak/>
        <w:t>markeering, mistõttu ei ole võimalik hinnata kavandatava lahenduse seotustolemasoleva taristuga</w:t>
      </w:r>
      <w:r w:rsidR="006D7066">
        <w:t xml:space="preserve">. </w:t>
      </w:r>
      <w:r>
        <w:t>Lisaks juhime tähelepanu, et planeeringu põhijoonisel näidatud kergliiklusteed on</w:t>
      </w:r>
      <w:r w:rsidR="006D7066">
        <w:t xml:space="preserve"> </w:t>
      </w:r>
      <w:r>
        <w:t>toodud riigitee äärde, kuid edasiselt ei vii see lahendus loogiliselt ega funktsionaalselt</w:t>
      </w:r>
      <w:r w:rsidR="006D7066">
        <w:t xml:space="preserve"> </w:t>
      </w:r>
      <w:r>
        <w:t>kuhugi</w:t>
      </w:r>
      <w:r w:rsidR="006D7066">
        <w:t xml:space="preserve">. </w:t>
      </w:r>
      <w:r>
        <w:t>Kavandatud kergliiklustee katkeb ning ei ole seotud</w:t>
      </w:r>
      <w:r w:rsidR="006D7066">
        <w:t xml:space="preserve"> </w:t>
      </w:r>
      <w:r>
        <w:t>olemasoleva ega kavandatava kergliiklusteede võrguga, mistõttu ei ole tagatud</w:t>
      </w:r>
      <w:r w:rsidR="006D7066">
        <w:t xml:space="preserve"> </w:t>
      </w:r>
      <w:r>
        <w:t>kergliiklejatele järjepidev ja ohutu liikumistee.</w:t>
      </w:r>
      <w:r w:rsidR="006D7066">
        <w:t xml:space="preserve"> </w:t>
      </w:r>
      <w:r>
        <w:t>Meie hinnangul planeeringu põhijoonisel näidatud kergliiklusteede lahendust piisavalt</w:t>
      </w:r>
      <w:r w:rsidR="006D7066">
        <w:t xml:space="preserve"> </w:t>
      </w:r>
      <w:r>
        <w:t>analüüsitud. Lahenduses esineb mitmeid puudusi (nt erinevad kaugused riigiteest,</w:t>
      </w:r>
      <w:r w:rsidR="006D7066">
        <w:t xml:space="preserve"> </w:t>
      </w:r>
      <w:r>
        <w:t>ebaselged teeületuskohad, nö „lahtised otsad“ jms).</w:t>
      </w:r>
      <w:r w:rsidR="006D7066">
        <w:t xml:space="preserve"> </w:t>
      </w:r>
      <w:r>
        <w:t>Oleme oma seisukohtade kirja p 2 märkinud, et korrektse ruumivajaduse hindamiseks</w:t>
      </w:r>
      <w:r w:rsidR="006D7066">
        <w:t xml:space="preserve"> </w:t>
      </w:r>
      <w:r>
        <w:t>(paika panemiseks), ohutu liikluslahenduse planeerimiseks ja asjatundlikkuse</w:t>
      </w:r>
      <w:r w:rsidR="006D7066">
        <w:t xml:space="preserve"> </w:t>
      </w:r>
      <w:r>
        <w:t>põhimõttele vastava projektlahenduse võimaldamiseks (vastavalt EhS § 10) tuleb</w:t>
      </w:r>
      <w:r w:rsidR="006D7066">
        <w:t xml:space="preserve"> </w:t>
      </w:r>
      <w:r>
        <w:t>planeeringu koostamisse kaasata teedeinsener kui eriteadmistega isik (PlanS § 4 lg 6).</w:t>
      </w:r>
      <w:r w:rsidR="006D7066">
        <w:t xml:space="preserve"> </w:t>
      </w:r>
      <w:r>
        <w:t>Oluline on arvestada, et planeering on ehitustegevuse elluviimiseks, mistõttu on</w:t>
      </w:r>
      <w:r w:rsidR="006D7066">
        <w:t xml:space="preserve"> </w:t>
      </w:r>
      <w:r>
        <w:t>edasiste vaidluste ära hoidmiseks vajalik paika panna täpne ruumivajadus.</w:t>
      </w:r>
      <w:r w:rsidR="006D7066">
        <w:t xml:space="preserve"> </w:t>
      </w:r>
      <w:r>
        <w:t>Sobiva kergliiklusteede lahenduse (k.a teeületuskohtade) leidmiseks juhinduda</w:t>
      </w:r>
      <w:r w:rsidR="006D7066">
        <w:t xml:space="preserve"> </w:t>
      </w:r>
      <w:r>
        <w:t>kergliiklustaristu kavandamise juhendi nõuetest (edaspidi juhend) ning tagada</w:t>
      </w:r>
      <w:r w:rsidR="006D7066">
        <w:t xml:space="preserve"> </w:t>
      </w:r>
      <w:r>
        <w:t>lahenduse järjepidevus, ohutus ja seotus olemasoleva ning kavandatava taristuga.</w:t>
      </w:r>
    </w:p>
    <w:p w14:paraId="7F5EA2CC" w14:textId="71F4D78D" w:rsidR="006D7066" w:rsidRPr="006D7066" w:rsidRDefault="006D7066" w:rsidP="006D7066">
      <w:pPr>
        <w:rPr>
          <w:b/>
          <w:bCs/>
        </w:rPr>
      </w:pPr>
      <w:r w:rsidRPr="006D7066">
        <w:rPr>
          <w:b/>
          <w:bCs/>
        </w:rPr>
        <w:t xml:space="preserve">Viidatud link ei tööta, TRAM kodulehelt ei ole võimalik antud juhendit 29.01.2026 sesiuga leida. Kergliiklusteede lahendus täiendatud, et oleks võimalik liikuda alalt loodesse, läände (sillale), </w:t>
      </w:r>
      <w:r>
        <w:rPr>
          <w:b/>
          <w:bCs/>
        </w:rPr>
        <w:t xml:space="preserve">lõunasse, </w:t>
      </w:r>
      <w:r w:rsidRPr="006D7066">
        <w:rPr>
          <w:b/>
          <w:bCs/>
        </w:rPr>
        <w:t>kagusse ja põhjakirdesse.</w:t>
      </w:r>
      <w:r>
        <w:rPr>
          <w:b/>
          <w:bCs/>
        </w:rPr>
        <w:t xml:space="preserve"> Alajaamast tee mööda viidud. </w:t>
      </w:r>
    </w:p>
    <w:p w14:paraId="7204C367" w14:textId="3A92C74A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Planeeringu materjale tuleb täpsustada vastavalt hetkel kehtivatele normidele</w:t>
      </w:r>
      <w:r w:rsidR="00B6136C">
        <w:t xml:space="preserve"> </w:t>
      </w:r>
      <w:r>
        <w:t>(kliimaministri määrus nr 71 „Tee projekteerimise normid“; vt seisukohtade p 8). Palume</w:t>
      </w:r>
      <w:r w:rsidR="00B6136C">
        <w:t xml:space="preserve"> </w:t>
      </w:r>
      <w:r>
        <w:t>planeeringu joonisele kanda ning seletuskirjas selgelt kirjeldada kõikide ristumiskohtade</w:t>
      </w:r>
      <w:r w:rsidR="00B6136C">
        <w:t xml:space="preserve"> </w:t>
      </w:r>
      <w:r>
        <w:t>(kui ristumiskohtade asukohad on teada) nähtavuskolmnurkade parameetrite väärtused.</w:t>
      </w:r>
    </w:p>
    <w:p w14:paraId="514E14C7" w14:textId="3F53D0F8" w:rsidR="00B6136C" w:rsidRPr="00B6136C" w:rsidRDefault="00B6136C" w:rsidP="00B6136C">
      <w:pPr>
        <w:rPr>
          <w:b/>
          <w:bCs/>
        </w:rPr>
      </w:pPr>
      <w:r w:rsidRPr="00B6136C">
        <w:rPr>
          <w:b/>
          <w:bCs/>
        </w:rPr>
        <w:t>Põhijoonise märkustesse lisatud nähtavuskolmnurkade andmed.</w:t>
      </w:r>
    </w:p>
    <w:p w14:paraId="30D76BD4" w14:textId="0CB125AB" w:rsidR="00694C13" w:rsidRDefault="00694C13" w:rsidP="00B6136C">
      <w:pPr>
        <w:pStyle w:val="ListParagraph"/>
        <w:numPr>
          <w:ilvl w:val="0"/>
          <w:numId w:val="1"/>
        </w:numPr>
        <w:ind w:left="567" w:hanging="567"/>
      </w:pPr>
      <w:r>
        <w:t>Planeeringu põhijoonisel on välja toodud ja tingmärkide loetelus selgitatud, et planeeringu</w:t>
      </w:r>
      <w:r w:rsidR="00B6136C">
        <w:t xml:space="preserve"> </w:t>
      </w:r>
      <w:r>
        <w:t>lahendusega tehakse ettepanek kiiruspiirangu muutmise ettepanek 70 km/h-lt 50 km/h-ni.</w:t>
      </w:r>
      <w:r w:rsidR="00B6136C">
        <w:t xml:space="preserve"> </w:t>
      </w:r>
      <w:r>
        <w:t>Kuna me ei nõustu riigiteele nr 11202 Vaida-Urge teele täiendavate ristmike</w:t>
      </w:r>
      <w:r w:rsidR="00B6136C">
        <w:t xml:space="preserve"> </w:t>
      </w:r>
      <w:r>
        <w:t>kavandamisega (läbiv liiklus, normide kohaldamine), siis ei ole meie hinnangul kiiruse</w:t>
      </w:r>
      <w:r w:rsidR="00B6136C">
        <w:t xml:space="preserve"> </w:t>
      </w:r>
      <w:r>
        <w:t>vähendamine õigustatud. Palume eemaldada põhijoonisel näidatud tingmärk koos selle</w:t>
      </w:r>
      <w:r w:rsidR="00B6136C">
        <w:t xml:space="preserve"> </w:t>
      </w:r>
      <w:r>
        <w:t>selgitusega</w:t>
      </w:r>
      <w:r w:rsidR="00B6136C">
        <w:t>.</w:t>
      </w:r>
    </w:p>
    <w:p w14:paraId="039AC9D1" w14:textId="28B1E928" w:rsidR="00B6136C" w:rsidRPr="00B6136C" w:rsidRDefault="00B6136C" w:rsidP="00B6136C">
      <w:pPr>
        <w:rPr>
          <w:b/>
          <w:bCs/>
        </w:rPr>
      </w:pPr>
      <w:r w:rsidRPr="00B6136C">
        <w:rPr>
          <w:b/>
          <w:bCs/>
        </w:rPr>
        <w:t>Tingmärk eemaldatud.</w:t>
      </w:r>
    </w:p>
    <w:p w14:paraId="21867415" w14:textId="1CC2845E" w:rsidR="00694C13" w:rsidRDefault="00694C13" w:rsidP="00B6136C">
      <w:pPr>
        <w:pStyle w:val="ListParagraph"/>
        <w:numPr>
          <w:ilvl w:val="0"/>
          <w:numId w:val="1"/>
        </w:numPr>
        <w:ind w:left="567" w:hanging="567"/>
      </w:pPr>
      <w:r>
        <w:t>PlanS § 126 lg 1 p 4 alusel on planeeringu ülesandeks tehnovõrkude ja -rajatiste võimaliku asukoha</w:t>
      </w:r>
      <w:r w:rsidR="00B6136C">
        <w:t xml:space="preserve"> </w:t>
      </w:r>
      <w:r>
        <w:t>määramine.</w:t>
      </w:r>
      <w:r w:rsidR="00B6136C">
        <w:t xml:space="preserve"> </w:t>
      </w:r>
      <w:r>
        <w:t>Planeeringuga on kavandatud riigitee alusele maale mitmed tehnovõrgud. Planeeritav</w:t>
      </w:r>
      <w:r w:rsidR="00B6136C">
        <w:t xml:space="preserve"> </w:t>
      </w:r>
      <w:r>
        <w:t>veetorustiku ja reoveekanalisatsioonitorustiku -V2- ja -K2- liitumispunktid on kavandatud</w:t>
      </w:r>
      <w:r w:rsidR="00B6136C">
        <w:t xml:space="preserve"> </w:t>
      </w:r>
      <w:r>
        <w:t>riigitee alusele maale</w:t>
      </w:r>
      <w:r w:rsidR="00B6136C">
        <w:t xml:space="preserve">. </w:t>
      </w:r>
      <w:r>
        <w:t>Samuti planeeritav elektrikanalisatsioon -W2- ja selle liitumispunkt</w:t>
      </w:r>
      <w:r w:rsidR="00B6136C">
        <w:t xml:space="preserve">. </w:t>
      </w:r>
      <w:r>
        <w:t>Selgitame, et EhS § 92 lg 1 alusel on tee rajatis, mis on ette nähtud inimeste, sõidukite või</w:t>
      </w:r>
      <w:r w:rsidR="00B6136C">
        <w:t xml:space="preserve"> </w:t>
      </w:r>
      <w:r>
        <w:t>loomade liikumiseks või liiklemiseks. Tee osaks loetakse tunnel, sild, viadukt ja muud</w:t>
      </w:r>
      <w:r w:rsidR="00B6136C">
        <w:t xml:space="preserve"> </w:t>
      </w:r>
      <w:r>
        <w:t>liiklemiseks kasutatavad ning tee toimimiseks vajalikud rajatised. Arvestades, et</w:t>
      </w:r>
      <w:r w:rsidR="00B6136C">
        <w:t xml:space="preserve"> </w:t>
      </w:r>
      <w:r>
        <w:t>planeeringuga kavandatud tehnovõrgud ei ole eelpool nimetatud rajatised, mis on vajalikud</w:t>
      </w:r>
      <w:r w:rsidR="00B6136C">
        <w:t xml:space="preserve"> </w:t>
      </w:r>
      <w:r>
        <w:t xml:space="preserve">tee toimimiseks ning riigitee alune maa on peaaegu täielikult </w:t>
      </w:r>
      <w:r>
        <w:lastRenderedPageBreak/>
        <w:t>riigitee rajatistega kaetud, ei</w:t>
      </w:r>
      <w:r w:rsidR="00B6136C">
        <w:t xml:space="preserve"> </w:t>
      </w:r>
      <w:r>
        <w:t>näe Transpordiamet võimalust tehnovõrkude rajamiseks piki riigiteed riigitee alusele</w:t>
      </w:r>
      <w:r w:rsidR="00B6136C">
        <w:t xml:space="preserve"> </w:t>
      </w:r>
      <w:r>
        <w:t>maale. Palume tehnovõrkudele leida uus asukoht.</w:t>
      </w:r>
      <w:r w:rsidR="00B6136C">
        <w:t xml:space="preserve"> </w:t>
      </w:r>
      <w:r>
        <w:t>Lisaks ei ole selgelt arusaadav, kuidas toimub planeeritavasidekanalisatsiooni -S2-</w:t>
      </w:r>
      <w:r w:rsidR="00B6136C">
        <w:t xml:space="preserve"> </w:t>
      </w:r>
      <w:r>
        <w:t>liitumine</w:t>
      </w:r>
      <w:r w:rsidR="00B6136C">
        <w:t xml:space="preserve">. </w:t>
      </w:r>
      <w:r>
        <w:t>Planeeritav sidekanalisatsioon -S2- tuleb riigitee kraavist välja tõsta</w:t>
      </w:r>
      <w:r w:rsidR="00B6136C">
        <w:t xml:space="preserve">. </w:t>
      </w:r>
      <w:r>
        <w:t>Tehnovõrkude joonise väljavõttelt ei selgu, kuhu läheb edasi planeeritav</w:t>
      </w:r>
      <w:r w:rsidR="00B6136C">
        <w:t xml:space="preserve"> </w:t>
      </w:r>
      <w:r>
        <w:t>sidekanalisatsioon.</w:t>
      </w:r>
      <w:r w:rsidR="00B6136C">
        <w:t xml:space="preserve"> </w:t>
      </w:r>
      <w:r>
        <w:t>Tehnovõrkude joonisel näidatud tingmärgil -WW2- puudub selgitus, kas tegemist on</w:t>
      </w:r>
      <w:r w:rsidR="00B6136C">
        <w:t xml:space="preserve"> </w:t>
      </w:r>
      <w:r>
        <w:t>olemasoleva või planeeritava trassiga</w:t>
      </w:r>
      <w:r w:rsidR="00B6136C">
        <w:t>.</w:t>
      </w:r>
    </w:p>
    <w:p w14:paraId="1B36A58A" w14:textId="01D63922" w:rsidR="00B6136C" w:rsidRPr="00E426AA" w:rsidRDefault="00B6136C" w:rsidP="00E426AA">
      <w:pPr>
        <w:rPr>
          <w:b/>
          <w:bCs/>
        </w:rPr>
      </w:pPr>
      <w:r w:rsidRPr="00E426AA">
        <w:rPr>
          <w:b/>
          <w:bCs/>
        </w:rPr>
        <w:t xml:space="preserve">Tehnovõrkude osa täiendatud, liitumispunktid olemasolevate trassidega viidud transpordimaalt ära, </w:t>
      </w:r>
      <w:r w:rsidR="00E426AA" w:rsidRPr="00E426AA">
        <w:rPr>
          <w:b/>
          <w:bCs/>
        </w:rPr>
        <w:t>ent trassilõigud transpordimaal olevatest trassidest kuni liitumispunktideni rajatakse siiski tranpordimaale.</w:t>
      </w:r>
    </w:p>
    <w:p w14:paraId="494AB97E" w14:textId="59B0BFCE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Sademevee lahendust tehnovõrkude jooniselt ei nähtu. Seletuskirja p 9</w:t>
      </w:r>
      <w:r w:rsidR="00E426AA">
        <w:t xml:space="preserve"> </w:t>
      </w:r>
      <w:r>
        <w:t>Vertikaalplaneerimine on öeldud, et juhtida sademeveed katustelt ja kõvakattega pindadelt</w:t>
      </w:r>
      <w:r w:rsidR="00E426AA">
        <w:t xml:space="preserve"> </w:t>
      </w:r>
      <w:r>
        <w:t>hoonetest eemale ja immutada pinnasesse.</w:t>
      </w:r>
      <w:r w:rsidR="00E426AA">
        <w:t xml:space="preserve"> </w:t>
      </w:r>
      <w:r>
        <w:t>Planeeringuga kavandatud riigiteede äärsete parkimisalade (P144, P44 ja P52) sademevee</w:t>
      </w:r>
      <w:r w:rsidR="00E426AA">
        <w:t xml:space="preserve"> </w:t>
      </w:r>
      <w:r>
        <w:t>lahenduse kavandamisel tuleb arvestada parkimisalade suurt pindala ja sellest tulenevat</w:t>
      </w:r>
      <w:r w:rsidR="00E426AA">
        <w:t xml:space="preserve"> </w:t>
      </w:r>
      <w:r>
        <w:t>sademevee hulka ning võimalikku reostuskoormust. Üksnes sademevete pinnasesse</w:t>
      </w:r>
      <w:r w:rsidR="00E426AA">
        <w:t xml:space="preserve"> </w:t>
      </w:r>
      <w:r>
        <w:t>immutamine ei ole sellise mahuga parkimisalade puhul piisav. Sademeveed tuleb juhtida</w:t>
      </w:r>
      <w:r w:rsidR="00E426AA">
        <w:t xml:space="preserve"> </w:t>
      </w:r>
      <w:r>
        <w:t>ja vajadusel puhastada (sh õli- ja settepüüdurid) sobivate lahendustega, mis tagavad ohutu</w:t>
      </w:r>
      <w:r w:rsidR="00E426AA">
        <w:t xml:space="preserve"> </w:t>
      </w:r>
      <w:r>
        <w:t>ja kontrollitud äravoolu.</w:t>
      </w:r>
      <w:r w:rsidR="00E426AA">
        <w:t xml:space="preserve"> </w:t>
      </w:r>
      <w:r>
        <w:t>Seletuskirja p 17.1 Sademevee käitlemine on öeldud, et:</w:t>
      </w:r>
      <w:r w:rsidR="00E426AA">
        <w:t xml:space="preserve"> </w:t>
      </w:r>
      <w:r>
        <w:t>Vastavalt EhS § 72 lg 1 p 5 ja § 70 lg 2 p 1 on riigitee kaitsevööndis keelatud teha veerežiimi</w:t>
      </w:r>
      <w:r w:rsidR="00E426AA">
        <w:t xml:space="preserve"> </w:t>
      </w:r>
      <w:r>
        <w:t>muutust põhjustavat maaparandustööd ning ohustada ehitist ja selle korrakohast</w:t>
      </w:r>
      <w:r w:rsidR="00E426AA">
        <w:t xml:space="preserve"> </w:t>
      </w:r>
      <w:r>
        <w:t>kasutamist. Selgitame, et riigitee kraavid on riigitee konstruktsiooni osa ja on ette nähtud</w:t>
      </w:r>
      <w:r w:rsidR="00E426AA">
        <w:t xml:space="preserve"> </w:t>
      </w:r>
      <w:r>
        <w:t>vee ärajuhtimiseks teekattelt, muldkehast ja nõlvadelt ning peavad tagama riigitee</w:t>
      </w:r>
      <w:r w:rsidR="00E426AA">
        <w:t xml:space="preserve"> </w:t>
      </w:r>
      <w:r>
        <w:t>toimimise ja püsivuse. Kraavid ei ole rajatud maaparanduslikel eesmärkidel ning need ei</w:t>
      </w:r>
      <w:r w:rsidR="00E426AA">
        <w:t xml:space="preserve"> </w:t>
      </w:r>
      <w:r>
        <w:t>ole maaparandusobjektide (arendatavate kinnistute) kuivendamisel immutusaladeks,</w:t>
      </w:r>
      <w:r w:rsidR="00E426AA">
        <w:t xml:space="preserve"> </w:t>
      </w:r>
      <w:r>
        <w:t>eesvooluks, kraaviks ega veejuhtmeks, mille kaudu juhitakse vett maaparandussüsteemi</w:t>
      </w:r>
      <w:r w:rsidR="00E426AA">
        <w:t xml:space="preserve"> </w:t>
      </w:r>
      <w:r>
        <w:t>eesvoolu. Vältimaks tee muldkeha uhtumist ja üleniiskumist on sademevee juhtimine</w:t>
      </w:r>
      <w:r w:rsidR="00E426AA">
        <w:t xml:space="preserve"> </w:t>
      </w:r>
      <w:r>
        <w:t>riigitee alusele maaüksusele keelatud.</w:t>
      </w:r>
      <w:r w:rsidR="00E426AA">
        <w:t xml:space="preserve"> </w:t>
      </w:r>
      <w:r>
        <w:t>Kuna kinnistutel on piisavalt ruumi, tuleb sademevee probleem lahendada planeeringuala</w:t>
      </w:r>
      <w:r w:rsidR="00E426AA">
        <w:t xml:space="preserve"> </w:t>
      </w:r>
      <w:r>
        <w:t>piires (koguda, immutada).</w:t>
      </w:r>
    </w:p>
    <w:p w14:paraId="620D42EA" w14:textId="4EF16953" w:rsidR="00E426AA" w:rsidRDefault="00E426AA" w:rsidP="00694C13">
      <w:pPr>
        <w:pStyle w:val="ListParagraph"/>
        <w:numPr>
          <w:ilvl w:val="0"/>
          <w:numId w:val="1"/>
        </w:numPr>
        <w:ind w:left="567" w:hanging="567"/>
      </w:pPr>
      <w:r>
        <w:t>Sademevee immutatakse Madara katastriüksusel, immutasalade asukohad näidatud põhijoonisel ja tehnovõrkude joonisel.</w:t>
      </w:r>
    </w:p>
    <w:p w14:paraId="04BA304A" w14:textId="3ECACAA7" w:rsidR="00694C13" w:rsidRDefault="00694C13" w:rsidP="00E426AA">
      <w:pPr>
        <w:pStyle w:val="ListParagraph"/>
        <w:numPr>
          <w:ilvl w:val="0"/>
          <w:numId w:val="2"/>
        </w:numPr>
        <w:suppressAutoHyphens/>
        <w:ind w:left="567" w:hanging="567"/>
      </w:pPr>
      <w:r>
        <w:t>Meie seisukohtade kirja p 11 toodud nõude kohaselt tuleb planeeringus määrata</w:t>
      </w:r>
      <w:r w:rsidR="00E426AA">
        <w:t xml:space="preserve"> </w:t>
      </w:r>
      <w:r>
        <w:t>ehitusjärjekorrad. Arendusega seotud teed tuleb rajada ning nähtavust piiravad takistused</w:t>
      </w:r>
      <w:r w:rsidR="00E426AA">
        <w:t xml:space="preserve"> </w:t>
      </w:r>
      <w:r>
        <w:t>(istandik, puu, põõsas või liiklusele ohtlik rajatis) kõrvaldada (alus EhS § 72 lg 2) enne</w:t>
      </w:r>
      <w:r w:rsidR="00E426AA">
        <w:t xml:space="preserve"> </w:t>
      </w:r>
      <w:r>
        <w:t>planeeringualale mistahes hoone ehitusloa väljastamist.</w:t>
      </w:r>
      <w:r w:rsidR="00E426AA">
        <w:t xml:space="preserve"> </w:t>
      </w:r>
      <w:r>
        <w:t>Planeeringu seletuskirja p 19 Planeeringu elluviimine, arendusetapid on antud selgitus, et</w:t>
      </w:r>
      <w:r w:rsidR="00E426AA">
        <w:t xml:space="preserve"> "</w:t>
      </w:r>
      <w:r w:rsidR="00E426AA" w:rsidRPr="00316FA5">
        <w:t>enne mistahes hoonele kasutusloa väljastamist pea</w:t>
      </w:r>
      <w:r w:rsidR="00E426AA">
        <w:t>vad</w:t>
      </w:r>
      <w:r w:rsidR="00E426AA" w:rsidRPr="00316FA5">
        <w:t xml:space="preserve"> olema nõuetekoha</w:t>
      </w:r>
      <w:r w:rsidR="00E426AA">
        <w:t>s</w:t>
      </w:r>
      <w:r w:rsidR="00E426AA" w:rsidRPr="00316FA5">
        <w:t>e</w:t>
      </w:r>
      <w:r w:rsidR="00E426AA">
        <w:t>d</w:t>
      </w:r>
      <w:r w:rsidR="00E426AA" w:rsidRPr="00316FA5">
        <w:t xml:space="preserve"> ristumiskoh</w:t>
      </w:r>
      <w:r w:rsidR="00E426AA">
        <w:t>ad</w:t>
      </w:r>
      <w:r w:rsidR="00E426AA" w:rsidRPr="00316FA5">
        <w:t xml:space="preserve"> </w:t>
      </w:r>
      <w:r w:rsidR="00E426AA">
        <w:t>riigi</w:t>
      </w:r>
      <w:r w:rsidR="00E426AA" w:rsidRPr="00316FA5">
        <w:t>tee</w:t>
      </w:r>
      <w:r w:rsidR="00E426AA">
        <w:t>de</w:t>
      </w:r>
      <w:r w:rsidR="00E426AA" w:rsidRPr="00316FA5">
        <w:t xml:space="preserve">ga välja ehitatud ja </w:t>
      </w:r>
      <w:r w:rsidR="00E426AA">
        <w:t>likvideeritavad</w:t>
      </w:r>
      <w:r w:rsidR="00E426AA" w:rsidRPr="00316FA5">
        <w:t xml:space="preserve"> ristumiskohad likvideeritud;</w:t>
      </w:r>
      <w:r w:rsidR="00E426AA">
        <w:t xml:space="preserve">" </w:t>
      </w:r>
      <w:r>
        <w:t>Planeeringu seletuskirja kõne</w:t>
      </w:r>
      <w:r w:rsidR="00E426AA">
        <w:t>al</w:t>
      </w:r>
      <w:r>
        <w:t>ust punkti korrigeerida ning lisada meie seisukohtade p 11</w:t>
      </w:r>
      <w:r w:rsidR="00E426AA">
        <w:t xml:space="preserve"> </w:t>
      </w:r>
      <w:r>
        <w:t>toodud tingimus. Enne teedevõrgu ehitamist ei ole võimalik tagada arendusala hoonete</w:t>
      </w:r>
      <w:r w:rsidR="00E426AA">
        <w:t xml:space="preserve"> </w:t>
      </w:r>
      <w:r>
        <w:t xml:space="preserve">ehitamiseks ohutut juurdepääsu. </w:t>
      </w:r>
      <w:r>
        <w:lastRenderedPageBreak/>
        <w:t>Vastavalt EhS § 8 peab ehitamine ja ehitamisega seonduv</w:t>
      </w:r>
      <w:r w:rsidR="00E426AA">
        <w:t xml:space="preserve"> </w:t>
      </w:r>
      <w:r>
        <w:t>muu tegevus olema ohutu ega tohi põhjustada ohtu inimestele, varale ega keskkonnale.</w:t>
      </w:r>
    </w:p>
    <w:p w14:paraId="51FBC135" w14:textId="13A3C02D" w:rsidR="00E426AA" w:rsidRPr="00E426AA" w:rsidRDefault="00E426AA" w:rsidP="00E426AA">
      <w:pPr>
        <w:suppressAutoHyphens/>
        <w:rPr>
          <w:b/>
          <w:bCs/>
        </w:rPr>
      </w:pPr>
      <w:r w:rsidRPr="00E426AA">
        <w:rPr>
          <w:b/>
          <w:bCs/>
        </w:rPr>
        <w:t>Seletuskirja p. 17 parandatud.</w:t>
      </w:r>
    </w:p>
    <w:p w14:paraId="789F52F7" w14:textId="51A58C0A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Seisukohtade kirja p 12 lisada planeeringu materjalidesse: Transpordiamet ei võta PlanS</w:t>
      </w:r>
      <w:r w:rsidR="00E426AA">
        <w:t xml:space="preserve"> </w:t>
      </w:r>
      <w:r>
        <w:t>§ 131 lg 1 kohaselt endale kohustusi planeeringuga seotud rajatiste väljaehitamiseks.</w:t>
      </w:r>
    </w:p>
    <w:p w14:paraId="59FBBC72" w14:textId="34BDB8C6" w:rsidR="00E426AA" w:rsidRPr="00E426AA" w:rsidRDefault="00E426AA" w:rsidP="00E426AA">
      <w:pPr>
        <w:rPr>
          <w:b/>
          <w:bCs/>
        </w:rPr>
      </w:pPr>
      <w:r w:rsidRPr="00E426AA">
        <w:rPr>
          <w:b/>
          <w:bCs/>
        </w:rPr>
        <w:t>Lisatud p. 17.</w:t>
      </w:r>
    </w:p>
    <w:p w14:paraId="6D18886E" w14:textId="641FAC1B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Seisukohtade kirja p 14 joonistele tuleb kanda planeeritud objektide kaugused riigitee katte</w:t>
      </w:r>
      <w:r w:rsidR="00E426AA">
        <w:t xml:space="preserve"> </w:t>
      </w:r>
      <w:r>
        <w:t>servast, sh hoonestusala, parkla jms.</w:t>
      </w:r>
    </w:p>
    <w:p w14:paraId="4882280D" w14:textId="27BB8F04" w:rsidR="00E426AA" w:rsidRPr="00E426AA" w:rsidRDefault="00E426AA" w:rsidP="00E426AA">
      <w:pPr>
        <w:rPr>
          <w:b/>
          <w:bCs/>
        </w:rPr>
      </w:pPr>
      <w:r w:rsidRPr="00E426AA">
        <w:rPr>
          <w:b/>
          <w:bCs/>
        </w:rPr>
        <w:t>Mõõdud lisatud.</w:t>
      </w:r>
    </w:p>
    <w:p w14:paraId="6136C837" w14:textId="4D1DD69C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Seletuskirja p 4.3 Müra hinnangu kokkuvõte- kasutatud kehtetu määrus.</w:t>
      </w:r>
    </w:p>
    <w:p w14:paraId="18B78414" w14:textId="28A4F120" w:rsidR="00E426AA" w:rsidRPr="00E426AA" w:rsidRDefault="00E426AA" w:rsidP="00E426AA">
      <w:pPr>
        <w:rPr>
          <w:b/>
          <w:bCs/>
        </w:rPr>
      </w:pPr>
      <w:r w:rsidRPr="00E426AA">
        <w:rPr>
          <w:b/>
          <w:bCs/>
        </w:rPr>
        <w:t>Parandatud.</w:t>
      </w:r>
    </w:p>
    <w:p w14:paraId="111E6AA3" w14:textId="01218FD4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Planeeringu seletuskirja lisada meie seisukohtade kirja p 16 toodud nõue, et tee omanik ei</w:t>
      </w:r>
      <w:r w:rsidR="00E426AA">
        <w:t xml:space="preserve"> </w:t>
      </w:r>
      <w:r>
        <w:t>võta endale kohustusi planeeringuga kavandatud leevendusmeetmete rakendamiseks.</w:t>
      </w:r>
    </w:p>
    <w:p w14:paraId="6FFDA731" w14:textId="7D567ADA" w:rsidR="00E426AA" w:rsidRPr="00E426AA" w:rsidRDefault="00E426AA" w:rsidP="00E426AA">
      <w:pPr>
        <w:rPr>
          <w:b/>
          <w:bCs/>
        </w:rPr>
      </w:pPr>
      <w:r w:rsidRPr="00E426AA">
        <w:rPr>
          <w:b/>
          <w:bCs/>
        </w:rPr>
        <w:t>Lisatud.</w:t>
      </w:r>
    </w:p>
    <w:p w14:paraId="3505C67B" w14:textId="57914DB8" w:rsidR="00694C13" w:rsidRDefault="00694C13" w:rsidP="00694C13">
      <w:pPr>
        <w:pStyle w:val="ListParagraph"/>
        <w:numPr>
          <w:ilvl w:val="0"/>
          <w:numId w:val="1"/>
        </w:numPr>
        <w:ind w:left="567" w:hanging="567"/>
      </w:pPr>
      <w:r>
        <w:t>Planeeringu seletuskirja lisada meie seisukohtade kirja p 17 toodud nõue, et kõik riigitee</w:t>
      </w:r>
      <w:r w:rsidR="00E426AA">
        <w:t xml:space="preserve"> </w:t>
      </w:r>
      <w:r>
        <w:t>kaitsevööndis kavandatud ehitusloa kohustusega tööde projektid tuleb esitada</w:t>
      </w:r>
      <w:r w:rsidR="00E426AA">
        <w:t xml:space="preserve"> </w:t>
      </w:r>
      <w:r>
        <w:t>Transpordiametile nõusoleku saamiseks. Riigiteega liitumise või ristumiskoha</w:t>
      </w:r>
      <w:r w:rsidR="00E426AA">
        <w:t xml:space="preserve"> </w:t>
      </w:r>
      <w:r>
        <w:t>ümberehituse korral ning tehnovõrkude kavandamiseks riigitee alusele maale tuleb EhS §</w:t>
      </w:r>
      <w:r w:rsidR="00E426AA">
        <w:t xml:space="preserve"> </w:t>
      </w:r>
      <w:r>
        <w:t>99 lg 3 alusel taotleda Transpordiametilt nõuded projekti koostamiseks.</w:t>
      </w:r>
    </w:p>
    <w:p w14:paraId="73FCFD27" w14:textId="0A0251AC" w:rsidR="00D12E75" w:rsidRPr="00E426AA" w:rsidRDefault="00E426AA" w:rsidP="00E426AA">
      <w:pPr>
        <w:rPr>
          <w:b/>
          <w:bCs/>
        </w:rPr>
      </w:pPr>
      <w:r w:rsidRPr="00E426AA">
        <w:rPr>
          <w:b/>
          <w:bCs/>
        </w:rPr>
        <w:t>Lisatud.</w:t>
      </w:r>
    </w:p>
    <w:sectPr w:rsidR="00D12E75" w:rsidRPr="00E426AA" w:rsidSect="00F6568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75D2"/>
    <w:multiLevelType w:val="hybridMultilevel"/>
    <w:tmpl w:val="1B36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0E8"/>
    <w:multiLevelType w:val="hybridMultilevel"/>
    <w:tmpl w:val="A0BA8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83802">
    <w:abstractNumId w:val="1"/>
  </w:num>
  <w:num w:numId="2" w16cid:durableId="10430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2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13"/>
    <w:rsid w:val="00063116"/>
    <w:rsid w:val="00301325"/>
    <w:rsid w:val="00694C13"/>
    <w:rsid w:val="006D7066"/>
    <w:rsid w:val="00793166"/>
    <w:rsid w:val="00AE18EB"/>
    <w:rsid w:val="00B56F6E"/>
    <w:rsid w:val="00B6136C"/>
    <w:rsid w:val="00C72BD0"/>
    <w:rsid w:val="00D12E75"/>
    <w:rsid w:val="00D515E2"/>
    <w:rsid w:val="00D906AB"/>
    <w:rsid w:val="00E426AA"/>
    <w:rsid w:val="00F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61A94"/>
  <w15:chartTrackingRefBased/>
  <w15:docId w15:val="{6C10BCB1-C6DE-A341-AA4D-68B4F6ED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EB"/>
    <w:pPr>
      <w:spacing w:line="360" w:lineRule="auto"/>
      <w:jc w:val="both"/>
    </w:pPr>
    <w:rPr>
      <w:rFonts w:ascii="Century Gothic" w:hAnsi="Century Gothic"/>
      <w:kern w:val="0"/>
      <w:sz w:val="20"/>
      <w:szCs w:val="22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C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C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C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C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C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C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C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C1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t-E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C1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t-E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C13"/>
    <w:rPr>
      <w:rFonts w:eastAsiaTheme="majorEastAsia" w:cstheme="majorBidi"/>
      <w:color w:val="0F4761" w:themeColor="accent1" w:themeShade="BF"/>
      <w:kern w:val="0"/>
      <w:sz w:val="28"/>
      <w:szCs w:val="28"/>
      <w:lang w:val="et-E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C13"/>
    <w:rPr>
      <w:rFonts w:eastAsiaTheme="majorEastAsia" w:cstheme="majorBidi"/>
      <w:i/>
      <w:iCs/>
      <w:color w:val="0F4761" w:themeColor="accent1" w:themeShade="BF"/>
      <w:kern w:val="0"/>
      <w:sz w:val="20"/>
      <w:szCs w:val="22"/>
      <w:lang w:val="et-E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C13"/>
    <w:rPr>
      <w:rFonts w:eastAsiaTheme="majorEastAsia" w:cstheme="majorBidi"/>
      <w:color w:val="0F4761" w:themeColor="accent1" w:themeShade="BF"/>
      <w:kern w:val="0"/>
      <w:sz w:val="20"/>
      <w:szCs w:val="22"/>
      <w:lang w:val="et-E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C13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val="et-E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C13"/>
    <w:rPr>
      <w:rFonts w:eastAsiaTheme="majorEastAsia" w:cstheme="majorBidi"/>
      <w:color w:val="595959" w:themeColor="text1" w:themeTint="A6"/>
      <w:kern w:val="0"/>
      <w:sz w:val="20"/>
      <w:szCs w:val="22"/>
      <w:lang w:val="et-E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C13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val="et-E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C13"/>
    <w:rPr>
      <w:rFonts w:eastAsiaTheme="majorEastAsia" w:cstheme="majorBidi"/>
      <w:color w:val="272727" w:themeColor="text1" w:themeTint="D8"/>
      <w:kern w:val="0"/>
      <w:sz w:val="20"/>
      <w:szCs w:val="22"/>
      <w:lang w:val="et-E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9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C13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C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C1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t-E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94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C13"/>
    <w:rPr>
      <w:rFonts w:ascii="Century Gothic" w:hAnsi="Century Gothic"/>
      <w:i/>
      <w:iCs/>
      <w:color w:val="404040" w:themeColor="text1" w:themeTint="BF"/>
      <w:kern w:val="0"/>
      <w:sz w:val="20"/>
      <w:szCs w:val="22"/>
      <w:lang w:val="et-EE"/>
      <w14:ligatures w14:val="none"/>
    </w:rPr>
  </w:style>
  <w:style w:type="paragraph" w:styleId="ListParagraph">
    <w:name w:val="List Paragraph"/>
    <w:basedOn w:val="Normal"/>
    <w:uiPriority w:val="34"/>
    <w:qFormat/>
    <w:rsid w:val="0069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C13"/>
    <w:rPr>
      <w:rFonts w:ascii="Century Gothic" w:hAnsi="Century Gothic"/>
      <w:i/>
      <w:iCs/>
      <w:color w:val="0F4761" w:themeColor="accent1" w:themeShade="BF"/>
      <w:kern w:val="0"/>
      <w:sz w:val="20"/>
      <w:szCs w:val="22"/>
      <w:lang w:val="et-E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94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Arhitektuuribüroo Nafta OÜ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Karu</dc:creator>
  <cp:keywords/>
  <dc:description/>
  <cp:lastModifiedBy>Madis Karu</cp:lastModifiedBy>
  <cp:revision>2</cp:revision>
  <dcterms:created xsi:type="dcterms:W3CDTF">2026-02-02T09:15:00Z</dcterms:created>
  <dcterms:modified xsi:type="dcterms:W3CDTF">2026-02-02T09:43:00Z</dcterms:modified>
</cp:coreProperties>
</file>